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15" w:rsidRPr="007B0FA3" w:rsidRDefault="00E87415" w:rsidP="00E87415">
      <w:pPr>
        <w:spacing w:line="360" w:lineRule="auto"/>
        <w:ind w:firstLine="426"/>
        <w:jc w:val="both"/>
        <w:rPr>
          <w:rFonts w:ascii="Verdana" w:hAnsi="Verdana"/>
          <w:b/>
          <w:sz w:val="20"/>
          <w:szCs w:val="20"/>
          <w:lang w:val="en-US"/>
        </w:rPr>
      </w:pPr>
      <w:r w:rsidRPr="007B0FA3">
        <w:rPr>
          <w:rFonts w:ascii="Verdana" w:hAnsi="Verdana"/>
          <w:spacing w:val="-1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</w:rPr>
        <w:t>а</w:t>
      </w:r>
      <w:r w:rsidRPr="007B0FA3">
        <w:rPr>
          <w:rFonts w:ascii="Verdana" w:hAnsi="Verdana"/>
          <w:spacing w:val="1"/>
          <w:sz w:val="20"/>
          <w:szCs w:val="20"/>
        </w:rPr>
        <w:t xml:space="preserve"> з</w:t>
      </w:r>
      <w:r w:rsidRPr="007B0FA3">
        <w:rPr>
          <w:rFonts w:ascii="Verdana" w:hAnsi="Verdana"/>
          <w:spacing w:val="-1"/>
          <w:sz w:val="20"/>
          <w:szCs w:val="20"/>
        </w:rPr>
        <w:t>а</w:t>
      </w:r>
      <w:r w:rsidRPr="007B0FA3">
        <w:rPr>
          <w:rFonts w:ascii="Verdana" w:hAnsi="Verdana"/>
          <w:spacing w:val="1"/>
          <w:sz w:val="20"/>
          <w:szCs w:val="20"/>
        </w:rPr>
        <w:t>ин</w:t>
      </w:r>
      <w:r w:rsidRPr="007B0FA3">
        <w:rPr>
          <w:rFonts w:ascii="Verdana" w:hAnsi="Verdana"/>
          <w:sz w:val="20"/>
          <w:szCs w:val="20"/>
        </w:rPr>
        <w:t>тер</w:t>
      </w:r>
      <w:r w:rsidRPr="007B0FA3">
        <w:rPr>
          <w:rFonts w:ascii="Verdana" w:hAnsi="Verdana"/>
          <w:spacing w:val="-1"/>
          <w:sz w:val="20"/>
          <w:szCs w:val="20"/>
        </w:rPr>
        <w:t>ес</w:t>
      </w:r>
      <w:r w:rsidRPr="007B0FA3">
        <w:rPr>
          <w:rFonts w:ascii="Verdana" w:hAnsi="Verdana"/>
          <w:sz w:val="20"/>
          <w:szCs w:val="20"/>
        </w:rPr>
        <w:t>ов</w:t>
      </w:r>
      <w:r w:rsidRPr="007B0FA3">
        <w:rPr>
          <w:rFonts w:ascii="Verdana" w:hAnsi="Verdana"/>
          <w:spacing w:val="-1"/>
          <w:sz w:val="20"/>
          <w:szCs w:val="20"/>
        </w:rPr>
        <w:t>а</w:t>
      </w:r>
      <w:r w:rsidRPr="007B0FA3">
        <w:rPr>
          <w:rFonts w:ascii="Verdana" w:hAnsi="Verdana"/>
          <w:spacing w:val="1"/>
          <w:sz w:val="20"/>
          <w:szCs w:val="20"/>
        </w:rPr>
        <w:t>ни</w:t>
      </w:r>
      <w:r w:rsidRPr="007B0FA3">
        <w:rPr>
          <w:rFonts w:ascii="Verdana" w:hAnsi="Verdana"/>
          <w:sz w:val="20"/>
          <w:szCs w:val="20"/>
        </w:rPr>
        <w:t>те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л</w:t>
      </w:r>
      <w:r w:rsidRPr="007B0FA3">
        <w:rPr>
          <w:rFonts w:ascii="Verdana" w:hAnsi="Verdana"/>
          <w:spacing w:val="1"/>
          <w:sz w:val="20"/>
          <w:szCs w:val="20"/>
        </w:rPr>
        <w:t>иц</w:t>
      </w:r>
      <w:r w:rsidRPr="007B0FA3">
        <w:rPr>
          <w:rFonts w:ascii="Verdana" w:hAnsi="Verdana"/>
          <w:sz w:val="20"/>
          <w:szCs w:val="20"/>
        </w:rPr>
        <w:t>а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на основание чл.26, ал.4 ЗНА се п</w:t>
      </w:r>
      <w:r w:rsidRPr="007B0FA3">
        <w:rPr>
          <w:rFonts w:ascii="Verdana" w:hAnsi="Verdana"/>
          <w:sz w:val="20"/>
          <w:szCs w:val="20"/>
        </w:rPr>
        <w:t>р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до</w:t>
      </w:r>
      <w:r w:rsidRPr="007B0FA3">
        <w:rPr>
          <w:rFonts w:ascii="Verdana" w:hAnsi="Verdana"/>
          <w:spacing w:val="-1"/>
          <w:sz w:val="20"/>
          <w:szCs w:val="20"/>
        </w:rPr>
        <w:t>с</w:t>
      </w:r>
      <w:r w:rsidRPr="007B0FA3">
        <w:rPr>
          <w:rFonts w:ascii="Verdana" w:hAnsi="Verdana"/>
          <w:sz w:val="20"/>
          <w:szCs w:val="20"/>
        </w:rPr>
        <w:t>та</w:t>
      </w:r>
      <w:r w:rsidRPr="007B0FA3">
        <w:rPr>
          <w:rFonts w:ascii="Verdana" w:hAnsi="Verdana"/>
          <w:spacing w:val="-1"/>
          <w:sz w:val="20"/>
          <w:szCs w:val="20"/>
        </w:rPr>
        <w:t>в</w:t>
      </w:r>
      <w:r w:rsidRPr="007B0FA3">
        <w:rPr>
          <w:rFonts w:ascii="Verdana" w:hAnsi="Verdana"/>
          <w:sz w:val="20"/>
          <w:szCs w:val="20"/>
        </w:rPr>
        <w:t>я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14</w:t>
      </w:r>
      <w:r w:rsidRPr="007B0FA3">
        <w:rPr>
          <w:rFonts w:ascii="Verdana" w:hAnsi="Verdana"/>
          <w:spacing w:val="-1"/>
          <w:sz w:val="20"/>
          <w:szCs w:val="20"/>
        </w:rPr>
        <w:t>-</w:t>
      </w:r>
      <w:r w:rsidRPr="007B0FA3">
        <w:rPr>
          <w:rFonts w:ascii="Verdana" w:hAnsi="Verdana"/>
          <w:spacing w:val="2"/>
          <w:sz w:val="20"/>
          <w:szCs w:val="20"/>
        </w:rPr>
        <w:t>д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в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-1"/>
          <w:sz w:val="20"/>
          <w:szCs w:val="20"/>
        </w:rPr>
        <w:t>с</w:t>
      </w:r>
      <w:r w:rsidRPr="007B0FA3">
        <w:rPr>
          <w:rFonts w:ascii="Verdana" w:hAnsi="Verdana"/>
          <w:sz w:val="20"/>
          <w:szCs w:val="20"/>
        </w:rPr>
        <w:t>ро</w:t>
      </w:r>
      <w:r w:rsidRPr="007B0FA3">
        <w:rPr>
          <w:rFonts w:ascii="Verdana" w:hAnsi="Verdana"/>
          <w:spacing w:val="1"/>
          <w:sz w:val="20"/>
          <w:szCs w:val="20"/>
        </w:rPr>
        <w:t>к</w:t>
      </w:r>
      <w:r w:rsidRPr="007B0FA3">
        <w:rPr>
          <w:rFonts w:ascii="Verdana" w:hAnsi="Verdana"/>
          <w:sz w:val="20"/>
          <w:szCs w:val="20"/>
        </w:rPr>
        <w:t xml:space="preserve">, </w:t>
      </w:r>
      <w:r w:rsidRPr="007B0FA3">
        <w:rPr>
          <w:rFonts w:ascii="Verdana" w:hAnsi="Verdana"/>
          <w:spacing w:val="-1"/>
          <w:sz w:val="20"/>
          <w:szCs w:val="20"/>
        </w:rPr>
        <w:t>сч</w:t>
      </w:r>
      <w:r w:rsidRPr="007B0FA3">
        <w:rPr>
          <w:rFonts w:ascii="Verdana" w:hAnsi="Verdana"/>
          <w:spacing w:val="1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та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</w:rPr>
        <w:t>о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о</w:t>
      </w:r>
      <w:r w:rsidRPr="007B0FA3">
        <w:rPr>
          <w:rFonts w:ascii="Verdana" w:hAnsi="Verdana"/>
          <w:spacing w:val="2"/>
          <w:sz w:val="20"/>
          <w:szCs w:val="20"/>
        </w:rPr>
        <w:t>т</w:t>
      </w:r>
      <w:r w:rsidRPr="007B0FA3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1</w:t>
      </w:r>
      <w:r w:rsidR="007B0FA3">
        <w:rPr>
          <w:rFonts w:ascii="Verdana" w:hAnsi="Verdana"/>
          <w:sz w:val="20"/>
          <w:szCs w:val="20"/>
        </w:rPr>
        <w:t>4</w:t>
      </w:r>
      <w:r w:rsidRPr="007B0FA3">
        <w:rPr>
          <w:rFonts w:ascii="Verdana" w:hAnsi="Verdana"/>
          <w:sz w:val="20"/>
          <w:szCs w:val="20"/>
        </w:rPr>
        <w:t>.05.2024 г.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з</w:t>
      </w:r>
      <w:r w:rsidRPr="007B0FA3">
        <w:rPr>
          <w:rFonts w:ascii="Verdana" w:hAnsi="Verdana"/>
          <w:sz w:val="20"/>
          <w:szCs w:val="20"/>
        </w:rPr>
        <w:t xml:space="preserve">а възражения, </w:t>
      </w:r>
      <w:r w:rsidRPr="007B0FA3">
        <w:rPr>
          <w:rFonts w:ascii="Verdana" w:hAnsi="Verdana"/>
          <w:spacing w:val="1"/>
          <w:sz w:val="20"/>
          <w:szCs w:val="20"/>
        </w:rPr>
        <w:t>п</w:t>
      </w:r>
      <w:r w:rsidRPr="007B0FA3">
        <w:rPr>
          <w:rFonts w:ascii="Verdana" w:hAnsi="Verdana"/>
          <w:sz w:val="20"/>
          <w:szCs w:val="20"/>
        </w:rPr>
        <w:t>р</w:t>
      </w:r>
      <w:r w:rsidRPr="007B0FA3">
        <w:rPr>
          <w:rFonts w:ascii="Verdana" w:hAnsi="Verdana"/>
          <w:spacing w:val="-1"/>
          <w:sz w:val="20"/>
          <w:szCs w:val="20"/>
        </w:rPr>
        <w:t>е</w:t>
      </w:r>
      <w:r w:rsidRPr="007B0FA3">
        <w:rPr>
          <w:rFonts w:ascii="Verdana" w:hAnsi="Verdana"/>
          <w:sz w:val="20"/>
          <w:szCs w:val="20"/>
        </w:rPr>
        <w:t>дложен</w:t>
      </w:r>
      <w:r w:rsidRPr="007B0FA3">
        <w:rPr>
          <w:rFonts w:ascii="Verdana" w:hAnsi="Verdana"/>
          <w:spacing w:val="1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я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-1"/>
          <w:sz w:val="20"/>
          <w:szCs w:val="20"/>
        </w:rPr>
        <w:t>с</w:t>
      </w:r>
      <w:r w:rsidRPr="007B0FA3">
        <w:rPr>
          <w:rFonts w:ascii="Verdana" w:hAnsi="Verdana"/>
          <w:sz w:val="20"/>
          <w:szCs w:val="20"/>
        </w:rPr>
        <w:t>та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z w:val="20"/>
          <w:szCs w:val="20"/>
        </w:rPr>
        <w:t>ов</w:t>
      </w:r>
      <w:r w:rsidRPr="007B0FA3">
        <w:rPr>
          <w:rFonts w:ascii="Verdana" w:hAnsi="Verdana"/>
          <w:spacing w:val="-2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ща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п</w:t>
      </w:r>
      <w:r w:rsidRPr="007B0FA3">
        <w:rPr>
          <w:rFonts w:ascii="Verdana" w:hAnsi="Verdana"/>
          <w:sz w:val="20"/>
          <w:szCs w:val="20"/>
        </w:rPr>
        <w:t>о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н</w:t>
      </w:r>
      <w:r w:rsidRPr="007B0FA3">
        <w:rPr>
          <w:rFonts w:ascii="Verdana" w:hAnsi="Verdana"/>
          <w:spacing w:val="-1"/>
          <w:sz w:val="20"/>
          <w:szCs w:val="20"/>
        </w:rPr>
        <w:t>ас</w:t>
      </w:r>
      <w:r w:rsidRPr="007B0FA3">
        <w:rPr>
          <w:rFonts w:ascii="Verdana" w:hAnsi="Verdana"/>
          <w:sz w:val="20"/>
          <w:szCs w:val="20"/>
        </w:rPr>
        <w:t>тоящ</w:t>
      </w:r>
      <w:r w:rsidRPr="007B0FA3">
        <w:rPr>
          <w:rFonts w:ascii="Verdana" w:hAnsi="Verdana"/>
          <w:spacing w:val="1"/>
          <w:sz w:val="20"/>
          <w:szCs w:val="20"/>
        </w:rPr>
        <w:t>и</w:t>
      </w:r>
      <w:r w:rsidRPr="007B0FA3">
        <w:rPr>
          <w:rFonts w:ascii="Verdana" w:hAnsi="Verdana"/>
          <w:sz w:val="20"/>
          <w:szCs w:val="20"/>
        </w:rPr>
        <w:t>я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pacing w:val="1"/>
          <w:sz w:val="20"/>
          <w:szCs w:val="20"/>
        </w:rPr>
        <w:t>п</w:t>
      </w:r>
      <w:r w:rsidRPr="007B0FA3">
        <w:rPr>
          <w:rFonts w:ascii="Verdana" w:hAnsi="Verdana"/>
          <w:sz w:val="20"/>
          <w:szCs w:val="20"/>
        </w:rPr>
        <w:t>ро</w:t>
      </w:r>
      <w:r w:rsidRPr="007B0FA3">
        <w:rPr>
          <w:rFonts w:ascii="Verdana" w:hAnsi="Verdana"/>
          <w:spacing w:val="-1"/>
          <w:sz w:val="20"/>
          <w:szCs w:val="20"/>
        </w:rPr>
        <w:t>ек</w:t>
      </w:r>
      <w:r w:rsidRPr="007B0FA3">
        <w:rPr>
          <w:rFonts w:ascii="Verdana" w:hAnsi="Verdana"/>
          <w:sz w:val="20"/>
          <w:szCs w:val="20"/>
        </w:rPr>
        <w:t>т</w:t>
      </w:r>
      <w:r w:rsidRPr="007B0FA3">
        <w:rPr>
          <w:rFonts w:ascii="Verdana" w:hAnsi="Verdana"/>
          <w:sz w:val="20"/>
          <w:szCs w:val="20"/>
          <w:lang w:val="en-US"/>
        </w:rPr>
        <w:t xml:space="preserve"> </w:t>
      </w:r>
      <w:r w:rsidRPr="007B0FA3">
        <w:rPr>
          <w:rFonts w:ascii="Verdana" w:hAnsi="Verdana"/>
          <w:sz w:val="20"/>
          <w:szCs w:val="20"/>
        </w:rPr>
        <w:t>за изменение и допълнение на Наредба за определянето и администрирането на местните такси и цени на услуги на територията на Община Дряново</w:t>
      </w:r>
    </w:p>
    <w:p w:rsidR="00E87415" w:rsidRPr="007B0FA3" w:rsidRDefault="00E87415" w:rsidP="00E8741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B0FA3">
        <w:rPr>
          <w:rFonts w:ascii="Verdana" w:hAnsi="Verdana"/>
          <w:sz w:val="20"/>
          <w:szCs w:val="20"/>
          <w:shd w:val="clear" w:color="auto" w:fill="FFFFFF"/>
        </w:rPr>
        <w:t xml:space="preserve">     Заинтересованите лица могат да представят своите възражения, предложения и становища по проекта в деловодството на О</w:t>
      </w:r>
      <w:bookmarkStart w:id="0" w:name="_GoBack"/>
      <w:bookmarkEnd w:id="0"/>
      <w:r w:rsidRPr="007B0FA3">
        <w:rPr>
          <w:rFonts w:ascii="Verdana" w:hAnsi="Verdana"/>
          <w:sz w:val="20"/>
          <w:szCs w:val="20"/>
          <w:shd w:val="clear" w:color="auto" w:fill="FFFFFF"/>
        </w:rPr>
        <w:t xml:space="preserve">бщина Дряново, както и да изпратят същите на официалния имейл на Община Дряново: </w:t>
      </w:r>
      <w:r w:rsidRPr="007B0FA3">
        <w:rPr>
          <w:rFonts w:ascii="Verdana" w:hAnsi="Verdana"/>
          <w:b/>
          <w:sz w:val="20"/>
          <w:szCs w:val="20"/>
          <w:shd w:val="clear" w:color="auto" w:fill="FFFFFF"/>
        </w:rPr>
        <w:t>dryanovo@dryanovo.bg</w:t>
      </w:r>
    </w:p>
    <w:p w:rsidR="00030829" w:rsidRPr="007B0FA3" w:rsidRDefault="00030829" w:rsidP="00E8741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B0FA3">
        <w:rPr>
          <w:rFonts w:ascii="Verdana" w:hAnsi="Verdana"/>
          <w:b/>
          <w:sz w:val="20"/>
          <w:szCs w:val="20"/>
        </w:rPr>
        <w:t>Н А Р Е Д Б А за определянето и администрирането на местните такси и цени на услуги</w:t>
      </w:r>
      <w:r w:rsidR="007B0FA3">
        <w:rPr>
          <w:rFonts w:ascii="Verdana" w:hAnsi="Verdana"/>
          <w:b/>
          <w:sz w:val="20"/>
          <w:szCs w:val="20"/>
        </w:rPr>
        <w:t xml:space="preserve"> </w:t>
      </w:r>
      <w:r w:rsidRPr="007B0FA3">
        <w:rPr>
          <w:rFonts w:ascii="Verdana" w:hAnsi="Verdana"/>
          <w:b/>
          <w:sz w:val="20"/>
          <w:szCs w:val="20"/>
        </w:rPr>
        <w:t>на територията на Община Дряново</w:t>
      </w:r>
    </w:p>
    <w:p w:rsidR="00030829" w:rsidRPr="007B0FA3" w:rsidRDefault="00030829" w:rsidP="0003082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B0FA3">
        <w:rPr>
          <w:rFonts w:ascii="Verdana" w:hAnsi="Verdana"/>
          <w:b/>
          <w:sz w:val="20"/>
          <w:szCs w:val="20"/>
        </w:rPr>
        <w:t>РАЗДЕЛ VIIІ</w:t>
      </w:r>
    </w:p>
    <w:p w:rsidR="00E87415" w:rsidRPr="007B0FA3" w:rsidRDefault="00E87415" w:rsidP="00E8741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B0FA3">
        <w:rPr>
          <w:rFonts w:ascii="Verdana" w:hAnsi="Verdana"/>
          <w:b/>
          <w:sz w:val="20"/>
          <w:szCs w:val="20"/>
        </w:rPr>
        <w:t>Такси за гробни места</w:t>
      </w:r>
    </w:p>
    <w:p w:rsidR="00E87415" w:rsidRPr="007B0FA3" w:rsidRDefault="00E87415" w:rsidP="00030829">
      <w:pPr>
        <w:spacing w:line="240" w:lineRule="auto"/>
        <w:jc w:val="center"/>
        <w:rPr>
          <w:rFonts w:ascii="Verdana" w:hAnsi="Verdana"/>
          <w:b/>
        </w:rPr>
      </w:pPr>
    </w:p>
    <w:p w:rsidR="00E87415" w:rsidRPr="007B0FA3" w:rsidRDefault="00E87415" w:rsidP="00E87415">
      <w:pPr>
        <w:spacing w:line="240" w:lineRule="auto"/>
        <w:rPr>
          <w:rFonts w:ascii="Verdana" w:hAnsi="Verdana"/>
          <w:b/>
        </w:rPr>
      </w:pPr>
      <w:r w:rsidRPr="007B0FA3">
        <w:rPr>
          <w:rFonts w:ascii="Verdana" w:hAnsi="Verdana"/>
          <w:b/>
        </w:rPr>
        <w:t>БИЛО: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Чл.40. (1) (изм. и доп. с Реш.№219/20.12.2012г) За ползване на гробни места над 8 години се заплащат еднократно такси, както следва: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1. до 10 години - 50.00 лв.;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2. за вечни времена – 100 лв.;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3. за ползване на семейни гробни места: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– за 10 години – 70.00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– за вечни времена – 150.00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За селата Царева ливада, Гостилица и Ганчовец: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1. до 10 години - 20.00 лв.;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2. за вечни времена – 35.00 лв.;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3. за ползване на семейни гробни места - за 10 години – 70.00 лв.;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За останалите села на територията на общината – 5.00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 xml:space="preserve">(2) За </w:t>
      </w:r>
      <w:proofErr w:type="spellStart"/>
      <w:r w:rsidRPr="007B0FA3">
        <w:rPr>
          <w:rFonts w:ascii="Verdana" w:hAnsi="Verdana"/>
        </w:rPr>
        <w:t>урнов</w:t>
      </w:r>
      <w:proofErr w:type="spellEnd"/>
      <w:r w:rsidRPr="007B0FA3">
        <w:rPr>
          <w:rFonts w:ascii="Verdana" w:hAnsi="Verdana"/>
        </w:rPr>
        <w:t xml:space="preserve"> гроб се заплащат таксите по ал.1, т.1 и 2 , намалени с 50 на сто.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(3) (нова - Реш.№425/31.03.2014; Изм. и доп. с Реш.№102/25.04.2016 г.; Реш.№300/28.06.2017г) Ритуални услуги, извършвани от Общинска администрация - Дряново: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1. Погребение в стар гроб - 150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2. Погребение в нов гроб - 132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3. Транспорт в града – 18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4. Транспорт извън града (в двете посоки) – 1.80 лв./км.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5. Полагане на урна – 36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6. Демонтаж на паметник – 20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lastRenderedPageBreak/>
        <w:t>7. Почистване на гроб от стари паметници, огради, строителни материали – 15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8. Подравняване на гроб за четиридесет дни: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без дъски – 15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с дървена рамка – 30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9. Еднократно почистване на гробно място с прекопаване и изчистване на корени – 10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10. Еднократно окосяване на гроб – 6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11. Отрязване на дървета и храсти не по-високи от два метра в гробно място – 15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12. Носене на покойник в гробищен парк – 10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13. Абонаментно поддържане: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три месеца окосяване и почистване – 14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шест месеца окосяване и почистване – 25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една година окосяване и почистване – 40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три месеца окопаване и изхвърляне на корени и треви – 24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шест месеца окопаване и изхвърляне на корени и треви – 40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една година окопаване и изхвърляне на корени и треви – 65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три месеца засаждане на цветя по каталог (цветята не влизат в таксата) и поддържане на гроба – 32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шест месеца засаждане на цветя по каталог (цветята не влизат в таксата) и поддържане на гроба – 52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14. Ползване на зала за опело или ритуал – 24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15. Ритуал на гроб – 15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16. Служебно погребение – 100 лв.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17. Траурни стоки – съгласно утвърден ценоразпис.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18. (нова – приета с Решение №300/28.06.2017г) Ползване на хладилна камера в Обреден дом при Гробищен парк – гр. Дряново – 1 лв. на час.</w:t>
      </w:r>
    </w:p>
    <w:p w:rsidR="00E87415" w:rsidRPr="007B0FA3" w:rsidRDefault="00E87415" w:rsidP="00E87415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В размера на таксите е включен и 20% разходи за ДДС.</w:t>
      </w:r>
    </w:p>
    <w:p w:rsidR="00E87415" w:rsidRPr="007B0FA3" w:rsidRDefault="00E87415" w:rsidP="00E87415">
      <w:pPr>
        <w:spacing w:line="240" w:lineRule="auto"/>
        <w:rPr>
          <w:rFonts w:ascii="Verdana" w:hAnsi="Verdana"/>
          <w:b/>
        </w:rPr>
      </w:pPr>
    </w:p>
    <w:p w:rsidR="00E87415" w:rsidRPr="007B0FA3" w:rsidRDefault="00E87415" w:rsidP="00E87415">
      <w:pPr>
        <w:spacing w:line="240" w:lineRule="auto"/>
        <w:rPr>
          <w:rFonts w:ascii="Verdana" w:hAnsi="Verdana"/>
          <w:b/>
        </w:rPr>
      </w:pPr>
      <w:r w:rsidRPr="007B0FA3">
        <w:rPr>
          <w:rFonts w:ascii="Verdana" w:hAnsi="Verdana"/>
          <w:b/>
        </w:rPr>
        <w:t>СТАВА: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 xml:space="preserve">Чл.40. </w:t>
      </w:r>
      <w:r w:rsidR="007B0FA3">
        <w:rPr>
          <w:rFonts w:ascii="Verdana" w:hAnsi="Verdana"/>
        </w:rPr>
        <w:t xml:space="preserve">(1) </w:t>
      </w:r>
      <w:r w:rsidRPr="007B0FA3">
        <w:rPr>
          <w:rFonts w:ascii="Verdana" w:hAnsi="Verdana"/>
        </w:rPr>
        <w:t>За ползване на гробни места над 8 години се заплащат еднократно такси, както следва: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1. до 10 години - 50.00 лв.;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2. за вечни времена – 100 лв.;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3. за ползване на семейни гробни места: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– за 10 години – 70.00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lastRenderedPageBreak/>
        <w:t>– за вечни времена – 150.00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За селата Царева ливада, Гостилица и Ганчовец:</w:t>
      </w:r>
    </w:p>
    <w:p w:rsidR="00030829" w:rsidRPr="007B0FA3" w:rsidRDefault="00E87415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</w:t>
      </w:r>
      <w:r w:rsidR="00030829" w:rsidRPr="007B0FA3">
        <w:rPr>
          <w:rFonts w:ascii="Verdana" w:hAnsi="Verdana"/>
        </w:rPr>
        <w:t xml:space="preserve"> до 10 години - 20.00 лв.;</w:t>
      </w:r>
    </w:p>
    <w:p w:rsidR="00030829" w:rsidRPr="007B0FA3" w:rsidRDefault="00E87415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</w:t>
      </w:r>
      <w:r w:rsidR="00030829" w:rsidRPr="007B0FA3">
        <w:rPr>
          <w:rFonts w:ascii="Verdana" w:hAnsi="Verdana"/>
        </w:rPr>
        <w:t xml:space="preserve"> за вечни времена – 35.00 лв.;</w:t>
      </w:r>
    </w:p>
    <w:p w:rsidR="00030829" w:rsidRPr="007B0FA3" w:rsidRDefault="00E87415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</w:t>
      </w:r>
      <w:r w:rsidR="00030829" w:rsidRPr="007B0FA3">
        <w:rPr>
          <w:rFonts w:ascii="Verdana" w:hAnsi="Verdana"/>
        </w:rPr>
        <w:t xml:space="preserve"> за ползване на семейни гробни места - за 10 години – 70.00 лв.;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За останалите села на територията на общината – 5.00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 xml:space="preserve">(2) За </w:t>
      </w:r>
      <w:proofErr w:type="spellStart"/>
      <w:r w:rsidRPr="007B0FA3">
        <w:rPr>
          <w:rFonts w:ascii="Verdana" w:hAnsi="Verdana"/>
        </w:rPr>
        <w:t>урнов</w:t>
      </w:r>
      <w:proofErr w:type="spellEnd"/>
      <w:r w:rsidRPr="007B0FA3">
        <w:rPr>
          <w:rFonts w:ascii="Verdana" w:hAnsi="Verdana"/>
        </w:rPr>
        <w:t xml:space="preserve"> гроб се заплащат таксите по ал.1, т.1 и 2 , намалени с 50 на сто.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(3) Ритуални услуги, извършвани от Общинска администрация - Дряново:</w:t>
      </w:r>
    </w:p>
    <w:p w:rsidR="009A1D92" w:rsidRPr="007B0FA3" w:rsidRDefault="009A1D92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1. Изкопаване на гроб – 240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2</w:t>
      </w:r>
      <w:r w:rsidR="00030829" w:rsidRPr="007B0FA3">
        <w:rPr>
          <w:rFonts w:ascii="Verdana" w:hAnsi="Verdana"/>
        </w:rPr>
        <w:t>. Полагане на урна – 36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3</w:t>
      </w:r>
      <w:r w:rsidR="00030829" w:rsidRPr="007B0FA3">
        <w:rPr>
          <w:rFonts w:ascii="Verdana" w:hAnsi="Verdana"/>
        </w:rPr>
        <w:t>. Демонтаж на паметник – 20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4</w:t>
      </w:r>
      <w:r w:rsidR="00030829" w:rsidRPr="007B0FA3">
        <w:rPr>
          <w:rFonts w:ascii="Verdana" w:hAnsi="Verdana"/>
        </w:rPr>
        <w:t>. Почистване на гроб от стари паметници, огради, строителни материали – 15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5</w:t>
      </w:r>
      <w:r w:rsidR="00030829" w:rsidRPr="007B0FA3">
        <w:rPr>
          <w:rFonts w:ascii="Verdana" w:hAnsi="Verdana"/>
        </w:rPr>
        <w:t>. Подравняване на гроб за четиридесет дни: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без дъски – 15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с дървена рамка – 30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6</w:t>
      </w:r>
      <w:r w:rsidR="00030829" w:rsidRPr="007B0FA3">
        <w:rPr>
          <w:rFonts w:ascii="Verdana" w:hAnsi="Verdana"/>
        </w:rPr>
        <w:t>. Еднократно почистване на гробно място с прекопаване и изчистване на корени – 10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7</w:t>
      </w:r>
      <w:r w:rsidR="00030829" w:rsidRPr="007B0FA3">
        <w:rPr>
          <w:rFonts w:ascii="Verdana" w:hAnsi="Verdana"/>
        </w:rPr>
        <w:t>. Еднократно окосяване на гроб – 6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8</w:t>
      </w:r>
      <w:r w:rsidR="00030829" w:rsidRPr="007B0FA3">
        <w:rPr>
          <w:rFonts w:ascii="Verdana" w:hAnsi="Verdana"/>
        </w:rPr>
        <w:t>. Отрязване на дървета и храсти не по-високи от два метра в гробно място – 15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9</w:t>
      </w:r>
      <w:r w:rsidR="00030829" w:rsidRPr="007B0FA3">
        <w:rPr>
          <w:rFonts w:ascii="Verdana" w:hAnsi="Verdana"/>
        </w:rPr>
        <w:t>. Абонаментно поддържане: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три месеца окосяване и почистване – 14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шест месеца окосяване и почистване – 25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една година окосяване и почистване – 40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три месеца окопаване и изхвърляне на корени и треви – 24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шест месеца окопаване и изхвърляне на корени и треви – 40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една година окопаване и изхвърляне на корени и треви – 65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три месеца засаждане на цветя по каталог (цветята не влизат в таксата) и поддържане на гроба – 32 лв.</w:t>
      </w:r>
    </w:p>
    <w:p w:rsidR="00030829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- за шест месеца засаждане на цветя по каталог (цветята не влизат в таксата) и поддържане на гроба – 52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10</w:t>
      </w:r>
      <w:r w:rsidR="00030829" w:rsidRPr="007B0FA3">
        <w:rPr>
          <w:rFonts w:ascii="Verdana" w:hAnsi="Verdana"/>
        </w:rPr>
        <w:t>. Ползване на зала за опело или ритуал – 24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11</w:t>
      </w:r>
      <w:r w:rsidR="00030829" w:rsidRPr="007B0FA3">
        <w:rPr>
          <w:rFonts w:ascii="Verdana" w:hAnsi="Verdana"/>
        </w:rPr>
        <w:t>. Ритуал на гроб – 15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12</w:t>
      </w:r>
      <w:r w:rsidR="00030829" w:rsidRPr="007B0FA3">
        <w:rPr>
          <w:rFonts w:ascii="Verdana" w:hAnsi="Verdana"/>
        </w:rPr>
        <w:t>. Служебно погребение – 100 лв.</w:t>
      </w:r>
    </w:p>
    <w:p w:rsidR="00030829" w:rsidRPr="007B0FA3" w:rsidRDefault="00954CAF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>13</w:t>
      </w:r>
      <w:r w:rsidR="00030829" w:rsidRPr="007B0FA3">
        <w:rPr>
          <w:rFonts w:ascii="Verdana" w:hAnsi="Verdana"/>
        </w:rPr>
        <w:t>. Ползване на хладилна камера в Обреден дом при Гробищен парк – гр. Дряново – 1 лв. на час.</w:t>
      </w:r>
    </w:p>
    <w:p w:rsidR="003D6C9D" w:rsidRPr="007B0FA3" w:rsidRDefault="00030829" w:rsidP="00030829">
      <w:pPr>
        <w:spacing w:line="240" w:lineRule="auto"/>
        <w:jc w:val="both"/>
        <w:rPr>
          <w:rFonts w:ascii="Verdana" w:hAnsi="Verdana"/>
        </w:rPr>
      </w:pPr>
      <w:r w:rsidRPr="007B0FA3">
        <w:rPr>
          <w:rFonts w:ascii="Verdana" w:hAnsi="Verdana"/>
        </w:rPr>
        <w:t xml:space="preserve">В размера на таксите </w:t>
      </w:r>
      <w:r w:rsidR="007B0FA3">
        <w:rPr>
          <w:rFonts w:ascii="Verdana" w:hAnsi="Verdana"/>
        </w:rPr>
        <w:t>са</w:t>
      </w:r>
      <w:r w:rsidRPr="007B0FA3">
        <w:rPr>
          <w:rFonts w:ascii="Verdana" w:hAnsi="Verdana"/>
        </w:rPr>
        <w:t xml:space="preserve"> включен</w:t>
      </w:r>
      <w:r w:rsidR="007B0FA3">
        <w:rPr>
          <w:rFonts w:ascii="Verdana" w:hAnsi="Verdana"/>
        </w:rPr>
        <w:t>и</w:t>
      </w:r>
      <w:r w:rsidRPr="007B0FA3">
        <w:rPr>
          <w:rFonts w:ascii="Verdana" w:hAnsi="Verdana"/>
        </w:rPr>
        <w:t xml:space="preserve"> и 20% разходи за ДДС.</w:t>
      </w:r>
    </w:p>
    <w:sectPr w:rsidR="003D6C9D" w:rsidRPr="007B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9"/>
    <w:rsid w:val="00030829"/>
    <w:rsid w:val="003D6C9D"/>
    <w:rsid w:val="007B0FA3"/>
    <w:rsid w:val="00954CAF"/>
    <w:rsid w:val="009A1D92"/>
    <w:rsid w:val="00E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BE59"/>
  <w15:chartTrackingRefBased/>
  <w15:docId w15:val="{A6DB115D-B166-4A85-9002-63FB2B2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3</cp:revision>
  <dcterms:created xsi:type="dcterms:W3CDTF">2024-05-14T08:22:00Z</dcterms:created>
  <dcterms:modified xsi:type="dcterms:W3CDTF">2024-05-14T08:33:00Z</dcterms:modified>
</cp:coreProperties>
</file>